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仿宋" w:hAnsi="仿宋" w:eastAsia="仿宋"/>
          <w:b/>
          <w:bCs/>
          <w:sz w:val="28"/>
          <w:szCs w:val="28"/>
        </w:rPr>
      </w:pPr>
      <w:r>
        <w:rPr>
          <w:rFonts w:hint="eastAsia" w:ascii="仿宋" w:hAnsi="仿宋" w:eastAsia="仿宋"/>
          <w:b/>
          <w:bCs/>
          <w:sz w:val="28"/>
          <w:szCs w:val="28"/>
        </w:rPr>
        <w:t>2015年北京中医药大学大学生</w:t>
      </w:r>
    </w:p>
    <w:p>
      <w:pPr>
        <w:jc w:val="center"/>
        <w:rPr>
          <w:rFonts w:ascii="仿宋" w:hAnsi="仿宋" w:eastAsia="仿宋"/>
          <w:b/>
          <w:bCs/>
          <w:sz w:val="28"/>
          <w:szCs w:val="28"/>
        </w:rPr>
      </w:pPr>
      <w:r>
        <w:rPr>
          <w:rFonts w:hint="eastAsia" w:ascii="仿宋" w:hAnsi="仿宋" w:eastAsia="仿宋"/>
          <w:b/>
          <w:bCs/>
          <w:sz w:val="28"/>
          <w:szCs w:val="28"/>
        </w:rPr>
        <w:t>暑期社会实践报销制度</w:t>
      </w:r>
    </w:p>
    <w:p>
      <w:pPr>
        <w:ind w:firstLine="420"/>
        <w:jc w:val="left"/>
        <w:rPr>
          <w:rFonts w:ascii="仿宋" w:hAnsi="仿宋" w:eastAsia="仿宋"/>
          <w:bCs/>
          <w:sz w:val="28"/>
          <w:szCs w:val="28"/>
        </w:rPr>
      </w:pPr>
      <w:r>
        <w:rPr>
          <w:rFonts w:hint="eastAsia" w:ascii="仿宋" w:hAnsi="仿宋" w:eastAsia="仿宋"/>
          <w:bCs/>
          <w:sz w:val="28"/>
          <w:szCs w:val="28"/>
        </w:rPr>
        <w:t>北京中医药大学社会实践资助是为了鼓励和支持学生参与社会实践活动而设立。为了保证资助的严肃性，特制定本报销制度，接受资助的各团队必须遵守。</w:t>
      </w:r>
    </w:p>
    <w:p>
      <w:pPr>
        <w:pStyle w:val="6"/>
        <w:numPr>
          <w:ilvl w:val="0"/>
          <w:numId w:val="1"/>
        </w:numPr>
        <w:ind w:firstLineChars="0"/>
        <w:jc w:val="left"/>
        <w:rPr>
          <w:rFonts w:ascii="仿宋" w:hAnsi="仿宋" w:eastAsia="仿宋"/>
          <w:bCs/>
          <w:sz w:val="28"/>
          <w:szCs w:val="28"/>
        </w:rPr>
      </w:pPr>
      <w:r>
        <w:rPr>
          <w:rFonts w:hint="eastAsia" w:ascii="仿宋" w:hAnsi="仿宋" w:eastAsia="仿宋"/>
          <w:bCs/>
          <w:sz w:val="28"/>
          <w:szCs w:val="28"/>
        </w:rPr>
        <w:t>基本制度</w:t>
      </w:r>
    </w:p>
    <w:p>
      <w:pPr>
        <w:pStyle w:val="6"/>
        <w:numPr>
          <w:ilvl w:val="0"/>
          <w:numId w:val="2"/>
        </w:numPr>
        <w:ind w:firstLineChars="0"/>
        <w:jc w:val="left"/>
        <w:rPr>
          <w:rFonts w:ascii="仿宋" w:hAnsi="仿宋" w:eastAsia="仿宋"/>
          <w:bCs/>
          <w:sz w:val="28"/>
          <w:szCs w:val="28"/>
        </w:rPr>
      </w:pPr>
      <w:r>
        <w:rPr>
          <w:rFonts w:hint="eastAsia" w:ascii="仿宋" w:hAnsi="仿宋" w:eastAsia="仿宋"/>
          <w:bCs/>
          <w:sz w:val="28"/>
          <w:szCs w:val="28"/>
        </w:rPr>
        <w:t>支出必须有正式发票，收据无效。正式发票须经被资助团队领队、指导老师及领队所在学院团总支书记在发票背面签字并附发票真伪查询单后方可报销。</w:t>
      </w:r>
    </w:p>
    <w:p>
      <w:pPr>
        <w:pStyle w:val="6"/>
        <w:numPr>
          <w:ilvl w:val="0"/>
          <w:numId w:val="2"/>
        </w:numPr>
        <w:ind w:firstLineChars="0"/>
        <w:jc w:val="left"/>
        <w:rPr>
          <w:rFonts w:ascii="仿宋" w:hAnsi="仿宋" w:eastAsia="仿宋"/>
          <w:bCs/>
          <w:sz w:val="28"/>
          <w:szCs w:val="28"/>
        </w:rPr>
      </w:pPr>
      <w:r>
        <w:rPr>
          <w:rFonts w:hint="eastAsia" w:ascii="仿宋" w:hAnsi="仿宋" w:eastAsia="仿宋"/>
          <w:bCs/>
          <w:sz w:val="28"/>
          <w:szCs w:val="28"/>
        </w:rPr>
        <w:t>交通费用只限于火车硬座票及长途汽车票，其他交通费用不予报销；住宿旅馆应出具正规发票；超市发票、餐饮、劳务、门票不可报销。</w:t>
      </w:r>
    </w:p>
    <w:p>
      <w:pPr>
        <w:pStyle w:val="6"/>
        <w:numPr>
          <w:ilvl w:val="0"/>
          <w:numId w:val="2"/>
        </w:numPr>
        <w:ind w:firstLineChars="0"/>
        <w:jc w:val="left"/>
        <w:rPr>
          <w:rFonts w:hint="eastAsia" w:ascii="仿宋" w:hAnsi="仿宋" w:eastAsia="仿宋"/>
          <w:bCs/>
          <w:sz w:val="28"/>
          <w:szCs w:val="28"/>
        </w:rPr>
      </w:pPr>
      <w:r>
        <w:rPr>
          <w:rFonts w:hint="eastAsia" w:ascii="仿宋" w:hAnsi="仿宋" w:eastAsia="仿宋"/>
          <w:bCs/>
          <w:sz w:val="28"/>
          <w:szCs w:val="28"/>
        </w:rPr>
        <w:t>报销金额按照立项金额执行。</w:t>
      </w:r>
    </w:p>
    <w:p>
      <w:pPr>
        <w:pStyle w:val="6"/>
        <w:numPr>
          <w:ilvl w:val="0"/>
          <w:numId w:val="2"/>
        </w:numPr>
        <w:ind w:firstLineChars="0"/>
        <w:jc w:val="left"/>
        <w:rPr>
          <w:rFonts w:ascii="仿宋" w:hAnsi="仿宋" w:eastAsia="仿宋"/>
          <w:bCs/>
          <w:sz w:val="28"/>
          <w:szCs w:val="28"/>
        </w:rPr>
      </w:pPr>
      <w:r>
        <w:rPr>
          <w:rFonts w:hint="eastAsia" w:ascii="仿宋" w:hAnsi="仿宋" w:eastAsia="仿宋"/>
          <w:bCs/>
          <w:sz w:val="28"/>
          <w:szCs w:val="28"/>
        </w:rPr>
        <w:t>其他严格按照北京中医药大学财务报销制度要求执行。</w:t>
      </w:r>
    </w:p>
    <w:p>
      <w:pPr>
        <w:pStyle w:val="6"/>
        <w:numPr>
          <w:ilvl w:val="0"/>
          <w:numId w:val="1"/>
        </w:numPr>
        <w:ind w:firstLineChars="0"/>
        <w:jc w:val="left"/>
        <w:rPr>
          <w:rFonts w:ascii="仿宋" w:hAnsi="仿宋" w:eastAsia="仿宋"/>
          <w:bCs/>
          <w:sz w:val="28"/>
          <w:szCs w:val="28"/>
        </w:rPr>
      </w:pPr>
      <w:r>
        <w:rPr>
          <w:rFonts w:hint="eastAsia" w:ascii="仿宋" w:hAnsi="仿宋" w:eastAsia="仿宋"/>
          <w:bCs/>
          <w:sz w:val="28"/>
          <w:szCs w:val="28"/>
        </w:rPr>
        <w:t>报销流程</w:t>
      </w:r>
    </w:p>
    <w:p>
      <w:pPr>
        <w:pStyle w:val="6"/>
        <w:numPr>
          <w:ilvl w:val="0"/>
          <w:numId w:val="3"/>
        </w:numPr>
        <w:ind w:firstLineChars="0"/>
        <w:jc w:val="left"/>
        <w:rPr>
          <w:rFonts w:ascii="仿宋" w:hAnsi="仿宋" w:eastAsia="仿宋"/>
          <w:bCs/>
          <w:sz w:val="28"/>
          <w:szCs w:val="28"/>
        </w:rPr>
      </w:pPr>
      <w:r>
        <w:rPr>
          <w:rFonts w:hint="eastAsia" w:ascii="仿宋" w:hAnsi="仿宋" w:eastAsia="仿宋"/>
          <w:bCs/>
          <w:sz w:val="28"/>
          <w:szCs w:val="28"/>
        </w:rPr>
        <w:t>在社会实践申请书中必须有经费预算明细，报团委备案；</w:t>
      </w:r>
    </w:p>
    <w:p>
      <w:pPr>
        <w:pStyle w:val="6"/>
        <w:numPr>
          <w:ilvl w:val="0"/>
          <w:numId w:val="3"/>
        </w:numPr>
        <w:ind w:firstLineChars="0"/>
        <w:jc w:val="left"/>
        <w:rPr>
          <w:rFonts w:ascii="仿宋" w:hAnsi="仿宋" w:eastAsia="仿宋"/>
          <w:bCs/>
          <w:sz w:val="28"/>
          <w:szCs w:val="28"/>
        </w:rPr>
      </w:pPr>
      <w:r>
        <w:rPr>
          <w:rFonts w:hint="eastAsia" w:ascii="仿宋" w:hAnsi="仿宋" w:eastAsia="仿宋"/>
          <w:bCs/>
          <w:sz w:val="28"/>
          <w:szCs w:val="28"/>
        </w:rPr>
        <w:t>活动过程中，各领队妥善保存好车票；团队队员住宿费及因公花费的开销须开具正式发票（凡报销发票均须备注明细、具体用途和物品，如只写文具、办公用品、礼品等字样的发票则不予报销，发票抬头为“北京中医药大学”），并交领队汇总，作为最后报销依据。</w:t>
      </w:r>
    </w:p>
    <w:p>
      <w:pPr>
        <w:pStyle w:val="6"/>
        <w:numPr>
          <w:ilvl w:val="0"/>
          <w:numId w:val="3"/>
        </w:numPr>
        <w:ind w:firstLineChars="0"/>
        <w:jc w:val="left"/>
        <w:rPr>
          <w:rFonts w:ascii="仿宋" w:hAnsi="仿宋" w:eastAsia="仿宋"/>
          <w:bCs/>
          <w:sz w:val="28"/>
          <w:szCs w:val="28"/>
        </w:rPr>
      </w:pPr>
      <w:r>
        <w:rPr>
          <w:rFonts w:hint="eastAsia" w:ascii="仿宋" w:hAnsi="仿宋" w:eastAsia="仿宋"/>
          <w:bCs/>
          <w:sz w:val="28"/>
          <w:szCs w:val="28"/>
        </w:rPr>
        <w:t>社会实践结束后，在开学的两周内，各领队上交团队总结报告，总结报告须包括《结算项目明细表》以及报销凭证，经校团委核实其真实性以及实际金额，超过实践前批准额度的，按照实践前的批准额度报销。</w:t>
      </w:r>
    </w:p>
    <w:p>
      <w:pPr>
        <w:ind w:left="420"/>
        <w:jc w:val="left"/>
        <w:rPr>
          <w:rFonts w:ascii="仿宋" w:hAnsi="仿宋" w:eastAsia="仿宋"/>
          <w:bCs/>
          <w:sz w:val="28"/>
          <w:szCs w:val="28"/>
        </w:rPr>
      </w:pPr>
    </w:p>
    <w:p>
      <w:pPr>
        <w:pStyle w:val="6"/>
        <w:ind w:left="780" w:firstLine="0" w:firstLineChars="0"/>
        <w:jc w:val="left"/>
        <w:rPr>
          <w:rFonts w:ascii="仿宋" w:hAnsi="仿宋" w:eastAsia="仿宋"/>
          <w:bCs/>
          <w:sz w:val="28"/>
          <w:szCs w:val="28"/>
        </w:rPr>
      </w:pPr>
      <w:r>
        <w:rPr>
          <w:rFonts w:hint="eastAsia" w:ascii="仿宋" w:hAnsi="仿宋" w:eastAsia="仿宋"/>
          <w:bCs/>
          <w:sz w:val="28"/>
          <w:szCs w:val="28"/>
        </w:rPr>
        <w:t>注：本制度的解释权归共青团北京中医药大学委员会。</w:t>
      </w:r>
    </w:p>
    <w:p>
      <w:pPr>
        <w:ind w:firstLine="560" w:firstLineChars="200"/>
        <w:jc w:val="right"/>
        <w:rPr>
          <w:rFonts w:ascii="仿宋" w:hAnsi="仿宋" w:eastAsia="仿宋"/>
          <w:bCs/>
          <w:sz w:val="28"/>
          <w:szCs w:val="28"/>
        </w:rPr>
      </w:pPr>
    </w:p>
    <w:p>
      <w:pPr>
        <w:ind w:firstLine="560" w:firstLineChars="200"/>
        <w:jc w:val="right"/>
        <w:rPr>
          <w:rFonts w:ascii="仿宋" w:hAnsi="仿宋" w:eastAsia="仿宋"/>
          <w:bCs/>
          <w:sz w:val="28"/>
          <w:szCs w:val="28"/>
        </w:rPr>
      </w:pPr>
    </w:p>
    <w:p>
      <w:pPr>
        <w:ind w:firstLine="560" w:firstLineChars="200"/>
        <w:jc w:val="right"/>
        <w:rPr>
          <w:rFonts w:ascii="仿宋" w:hAnsi="仿宋" w:eastAsia="仿宋"/>
          <w:bCs/>
          <w:sz w:val="28"/>
          <w:szCs w:val="28"/>
        </w:rPr>
      </w:pPr>
      <w:r>
        <w:rPr>
          <w:rFonts w:hint="eastAsia" w:ascii="仿宋" w:hAnsi="仿宋" w:eastAsia="仿宋"/>
          <w:bCs/>
          <w:sz w:val="28"/>
          <w:szCs w:val="28"/>
        </w:rPr>
        <w:t>共青团北京中医药大学委员会</w:t>
      </w:r>
    </w:p>
    <w:p>
      <w:pPr>
        <w:ind w:firstLine="560" w:firstLineChars="200"/>
        <w:jc w:val="right"/>
        <w:rPr>
          <w:rFonts w:ascii="仿宋" w:hAnsi="仿宋" w:eastAsia="仿宋"/>
          <w:sz w:val="28"/>
          <w:szCs w:val="28"/>
        </w:rPr>
      </w:pPr>
      <w:r>
        <w:rPr>
          <w:rFonts w:hint="eastAsia" w:ascii="仿宋" w:hAnsi="仿宋" w:eastAsia="仿宋"/>
          <w:sz w:val="28"/>
          <w:szCs w:val="28"/>
        </w:rPr>
        <w:t>2015年6月</w:t>
      </w:r>
      <w:r>
        <w:rPr>
          <w:rFonts w:hint="eastAsia" w:ascii="仿宋" w:hAnsi="仿宋" w:eastAsia="仿宋"/>
          <w:sz w:val="24"/>
          <w:szCs w:val="24"/>
          <w:lang w:val="en-US" w:eastAsia="zh-CN"/>
        </w:rPr>
        <w:t>20</w:t>
      </w:r>
      <w:bookmarkStart w:id="0" w:name="_GoBack"/>
      <w:bookmarkEnd w:id="0"/>
      <w:r>
        <w:rPr>
          <w:rFonts w:hint="eastAsia" w:ascii="仿宋" w:hAnsi="仿宋" w:eastAsia="仿宋"/>
          <w:sz w:val="28"/>
          <w:szCs w:val="28"/>
        </w:rPr>
        <w:t>日</w:t>
      </w:r>
    </w:p>
    <w:p>
      <w:pPr>
        <w:pStyle w:val="6"/>
        <w:ind w:left="780" w:firstLine="0" w:firstLineChars="0"/>
        <w:jc w:val="left"/>
        <w:rPr>
          <w:rFonts w:ascii="仿宋" w:hAnsi="仿宋" w:eastAsia="仿宋"/>
          <w:bCs/>
          <w:sz w:val="28"/>
          <w:szCs w:val="28"/>
        </w:rPr>
      </w:pPr>
    </w:p>
    <w:p>
      <w:pPr>
        <w:ind w:right="240" w:firstLine="560" w:firstLineChars="200"/>
        <w:jc w:val="right"/>
        <w:rPr>
          <w:rFonts w:ascii="仿宋" w:hAnsi="仿宋" w:eastAsia="仿宋"/>
          <w:sz w:val="28"/>
          <w:szCs w:val="28"/>
        </w:rPr>
      </w:pPr>
    </w:p>
    <w:p>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66435434">
    <w:nsid w:val="1BCD3D6A"/>
    <w:multiLevelType w:val="multilevel"/>
    <w:tmpl w:val="1BCD3D6A"/>
    <w:lvl w:ilvl="0" w:tentative="1">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961646190">
    <w:nsid w:val="74EC586E"/>
    <w:multiLevelType w:val="multilevel"/>
    <w:tmpl w:val="74EC586E"/>
    <w:lvl w:ilvl="0" w:tentative="1">
      <w:start w:val="1"/>
      <w:numFmt w:val="japaneseCounting"/>
      <w:lvlText w:val="%1．"/>
      <w:lvlJc w:val="left"/>
      <w:pPr>
        <w:ind w:left="900" w:hanging="48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980988444">
    <w:nsid w:val="76137C1C"/>
    <w:multiLevelType w:val="multilevel"/>
    <w:tmpl w:val="76137C1C"/>
    <w:lvl w:ilvl="0" w:tentative="1">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num w:numId="1">
    <w:abstractNumId w:val="1961646190"/>
  </w:num>
  <w:num w:numId="2">
    <w:abstractNumId w:val="466435434"/>
  </w:num>
  <w:num w:numId="3">
    <w:abstractNumId w:val="19809884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D408F"/>
    <w:rsid w:val="004D7288"/>
    <w:rsid w:val="00AD408F"/>
    <w:rsid w:val="00B7159C"/>
    <w:rsid w:val="00D70C10"/>
    <w:rsid w:val="440D54D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Words>
  <Characters>483</Characters>
  <Lines>4</Lines>
  <Paragraphs>1</Paragraphs>
  <TotalTime>0</TotalTime>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2015-06-18T16:00:00Z</dcterms:created>
  <dc:creator>lenovo</dc:creator>
  <cp:lastModifiedBy>Administrator</cp:lastModifiedBy>
  <dcterms:modified xsi:type="dcterms:W3CDTF">2015-06-26T08:52:17Z</dcterms:modified>
  <dc:title>2015年北京中医药大学大学生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