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调研指南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重点选题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bookmarkStart w:id="0" w:name="bookmark20"/>
      <w:bookmarkEnd w:id="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后疫情时代城市的规划建设管理</w:t>
      </w:r>
      <w:bookmarkStart w:id="1" w:name="bookmark21"/>
      <w:bookmarkEnd w:id="1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依托工业互联网构筑符合首都功能定位的智能制造体系</w:t>
      </w:r>
      <w:bookmarkStart w:id="2" w:name="bookmark22"/>
      <w:bookmarkEnd w:id="2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发展金融科技、数字经济背景下，线上线下融合举办服贸会和中关村论坛的创新路径</w:t>
      </w:r>
      <w:bookmarkStart w:id="3" w:name="bookmark23"/>
      <w:bookmarkEnd w:id="3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深化都市经济供给侧改革，推动新经济新模式落地</w:t>
      </w:r>
      <w:bookmarkStart w:id="4" w:name="bookmark24"/>
      <w:bookmarkEnd w:id="4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加快推进京津冀产业链创新链协同发展</w:t>
      </w:r>
      <w:bookmarkStart w:id="5" w:name="bookmark25"/>
      <w:bookmarkEnd w:id="5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核心区街区的保护更新</w:t>
      </w:r>
      <w:bookmarkStart w:id="6" w:name="bookmark26"/>
      <w:bookmarkEnd w:id="6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依托新技术传承、保护、利用历史文化遗产</w:t>
      </w:r>
      <w:bookmarkStart w:id="7" w:name="bookmark27"/>
      <w:bookmarkEnd w:id="7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织补、提升书店、博物馆、小剧场等公共文化空间</w:t>
      </w:r>
      <w:bookmarkStart w:id="8" w:name="bookmark28"/>
      <w:bookmarkEnd w:id="8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推动张家湾设计小镇、台湖演艺小镇规划建设</w:t>
      </w:r>
      <w:bookmarkStart w:id="9" w:name="bookmark29"/>
      <w:bookmarkEnd w:id="9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国内外智慧城市建设新趋势新特点及经验启示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多渠道引入社会资本参与老旧小区改造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280" w:firstLineChars="1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创新做好冬奥会海外宣传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280" w:firstLineChars="1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一般选题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习近平新时代中国特色社会主义思想“飞入寻常百姓家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的传播路径研究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bookmarkStart w:id="10" w:name="bookmark31"/>
      <w:bookmarkEnd w:id="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首都大学生读书会（社团）现状及运行机制研究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3.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优秀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传统文化融入中小学生美育有效路径研究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1" w:name="bookmark33"/>
      <w:bookmarkEnd w:id="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香山革命纪念地建设与首都红色文化资源特色品牌塑造研究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2" w:name="bookmark34"/>
      <w:bookmarkEnd w:id="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推动社会主义核心价值观入法入规的机制探索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3" w:name="bookmark35"/>
      <w:bookmarkEnd w:id="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国外历史文化名城发展路径对北京市建设全国文化中心的启示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4" w:name="bookmark36"/>
      <w:bookmarkEnd w:id="1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构建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校、家庭、社会”三位一体育人体系，推进首都未成年人思想道德建设研究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5" w:name="bookmark37"/>
      <w:bookmarkEnd w:id="1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中央在京高校参与科创中心建设情况调研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6" w:name="bookmark38"/>
      <w:bookmarkEnd w:id="1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北京科技型企业创新政策需求调研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7" w:name="bookmark39"/>
      <w:bookmarkEnd w:id="1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高校科技成果在京落地转化情况调研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8" w:name="bookmark40"/>
      <w:bookmarkEnd w:id="1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北京创新创业现状及问题调研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9" w:name="bookmark41"/>
      <w:bookmarkEnd w:id="1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北京国际人才吸引力提升对策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0" w:name="bookmark42"/>
      <w:bookmarkEnd w:id="2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13.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北京人工智能产业发展情况调研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1" w:name="bookmark43"/>
      <w:bookmarkEnd w:id="2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14.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北京医药健康产业发展情况调研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2" w:name="bookmark44"/>
      <w:bookmarkEnd w:id="2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15.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北京市完善重大国事活动常态化服务保障机制研究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3" w:name="bookmark45"/>
      <w:bookmarkEnd w:id="2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16.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北京市促进文化产业发展的思路与措施研究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4" w:name="bookmark46"/>
      <w:bookmarkEnd w:id="2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17.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北京市加强国际交往设施和能力建设的思路与措施研究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18.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于全面创新改革试验的北京怀柔综合性国家科学中心制度创新研究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5" w:name="bookmark48"/>
      <w:bookmarkEnd w:id="2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19.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新冠疫情影响下全球供应链风险评估及对策研究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6" w:name="bookmark49"/>
      <w:bookmarkEnd w:id="2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20.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构建更加广泛的京津冀协同发展长效机制研究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7" w:name="bookmark50"/>
      <w:bookmarkEnd w:id="2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北京市支持新型基础设施建设政策研究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8" w:name="bookmark51"/>
      <w:bookmarkEnd w:id="2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北京市历史文化街区和历史建筑保护政策研究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9" w:name="bookmark52"/>
      <w:bookmarkEnd w:id="2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23.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促进北京健康社区发展的规划及实施对策研究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30" w:name="bookmark53"/>
      <w:bookmarkEnd w:id="3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24.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自然资源资产价值实现路径研究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31" w:name="bookmark54"/>
      <w:bookmarkEnd w:id="3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25.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高校毕业生住房租赁需求调查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32" w:name="bookmark55"/>
      <w:bookmarkEnd w:id="3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26.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承租公租房家庭的信用奖惩机制研究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33" w:name="bookmark56"/>
      <w:bookmarkEnd w:id="3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27.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建设行业注册执业人员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证挂证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”根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源探究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34" w:name="bookmark57"/>
      <w:bookmarkEnd w:id="3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28.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北京低收入农户帮扶成果巩固提升研究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35" w:name="bookmark58"/>
      <w:bookmarkEnd w:id="3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29.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高校农业科研成果在北京郊区转化应用研究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36" w:name="bookmark59"/>
      <w:bookmarkEnd w:id="3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30.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高校人才到农村创业创新研究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37" w:name="bookmark60"/>
      <w:bookmarkEnd w:id="3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京郊农产品生产与首都市场需求对接研究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280" w:firstLineChars="1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38" w:name="bookmark61"/>
      <w:bookmarkEnd w:id="3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超大城市乡村治理能力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建设研究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39" w:name="_GoBack"/>
      <w:bookmarkEnd w:id="39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671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1024" behindDoc="1" locked="0" layoutInCell="1" allowOverlap="1">
              <wp:simplePos x="0" y="0"/>
              <wp:positionH relativeFrom="page">
                <wp:posOffset>3952240</wp:posOffset>
              </wp:positionH>
              <wp:positionV relativeFrom="page">
                <wp:posOffset>9069705</wp:posOffset>
              </wp:positionV>
              <wp:extent cx="36195" cy="71755"/>
              <wp:effectExtent l="0" t="0" r="0" b="0"/>
              <wp:wrapNone/>
              <wp:docPr id="4098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95" cy="71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3" o:spid="_x0000_s1026" o:spt="1" style="position:absolute;left:0pt;margin-left:311.2pt;margin-top:714.15pt;height:5.65pt;width:2.85pt;mso-position-horizontal-relative:page;mso-position-vertical-relative:page;mso-wrap-style:none;z-index:-503315456;mso-width-relative:page;mso-height-relative:page;" filled="f" stroked="f" coordsize="21600,21600" o:gfxdata="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ASnObO2QAAAA0BAAAPAAAAAAAAAAEAIAAAACIAAABkcnMvZG93bnJldi54bWxQ&#10;SwECFAAUAAAACACHTuJAtA0NyoQBAAANAwAADgAAAAAAAAABACAAAAAoAQAAZHJzL2Uyb0RvYy54&#10;bWxQSwUGAAAAAAYABgBZAQAAH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B00"/>
    <w:rsid w:val="0D6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919</Words>
  <Characters>989</Characters>
  <Paragraphs>63</Paragraphs>
  <TotalTime>1</TotalTime>
  <ScaleCrop>false</ScaleCrop>
  <LinksUpToDate>false</LinksUpToDate>
  <CharactersWithSpaces>989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2020-07-22T09:58:00Z</dcterms:created>
  <dc:creator>郑宇欣</dc:creator>
  <cp:lastModifiedBy>龚腾飞</cp:lastModifiedBy>
  <dcterms:modified xsi:type="dcterms:W3CDTF">2020-07-22T11:34:56Z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